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Espinal, julio de 2025</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Doctor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OSCAR ROLANDO CASTRO GUERRA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Subdirector (e)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Centro Agropecuario La Granja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Sena Regional Tolima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Espinal</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nahvlpl3fouc"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Asunto: Solicitud inicio proceso contractual para Asunto: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“CONTRATAR LA FUMIGACIÓN, CONTROL DE ROEDORES PLAGAS Y VECTORES, DEL CENTRO AGROPECUARIO LA GRANJA 2025”</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Respetado Doctor Castro: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 manera atenta me permito solicitar su autorización para dar inicio al proceso contractual que tiene como objetivo “CONTRATAR LA FUMIGACIÓN, CONTROL DE ROEDORES PLAGAS Y VECTORES, DEL CENTRO AGROPECUARIO LA GRANJA 2025” teniendo en cuenta los siguientes criterios: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Justificación De La Necesidad De Contratación: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Servicio Nacional de Aprendizaje -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El SENA ofrece formación gratuita a millones de colombianos que se benefician con programas técnicos, tecnológicos y complementarios que, enfocados en el desarrollo económico, tecnológico y social del país, entran a las actividades productivas de las empresas y de la industria, para obtener mejor competitividad y producción con los mercados globalizados.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 Institución está facultada por el Estado para la inversión en infraestructura y servicios necesarios para mejorar el desarrollo social y técnico de los trabajadores en las diferentes regiones, a través de formación profesional integral que logra incorporarse con las metas del Gobierno Nacional, mediante el cubrimiento de las necesidades específicas de recurso humano en las empresas, a través de la vinculación al mercado laboral, bien sea como empleado o subempleado, con grandes oportunidades para el desarrollo empresarial, comunitario y tecnológico.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 Entidad más querida por los colombianos funciona en permanente alianza con el Gobierno, empresarios, trabajadores, productores, desde su creación, con el firme propósito de lograr la competitividad de Colombia a través del incremento de la productividad en las empresas, sin dejar a un lado la inclusión social, en articulación con la política nacional: Más empleo y menos pobreza. Por tal razón, se generan continuamente programas, proyectos de responsabilidad social, empresarial, formación, innovación, desarrollo tecnológico, internacionalización y transferencia de conocimientos.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"SENA", para promover e impulsar el desarrollo y prosperidad del país, se alinea a los parámetros formulados en su Plan de Desarrollo, en el cual se plantean cinco estrategias transversales enfocadas a la infraestructura y competitividad, movilidad social, transformación del campo y crecimiento verde, consolidación del Estado Social de Derecho y un buen gobierno. Con lo anterior se busca avanzar hacia la construcción de un país en paz, equitativo y educado, donde hace un aporte muy importante en este proceso.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 consecuencia, del plan de desarrollo nacional, el SENA ejecuta su plan estratégico, donde busca el mejoramiento de la calidad, con cobertura y pertinencia. Además de lo anterior, guía sus acciones a través del sistema integrado de gestión.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bookmarkStart w:colFirst="0" w:colLast="0" w:name="_rvzu78d0i6" w:id="1"/>
      <w:bookmarkEnd w:id="1"/>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Centro Agropecuario "La Granja", en su propósito de brindar una formación profesional integral de calidad a sus aprendices y de facilitar el acceso a sus instalaciones tanto de  aprendices como también de instructores, coordinadores y personal administrativo que provienen de ciudades aledañas al Centro, resulta imperioso adelantar el respectivo servicio y control de Fumigación, Control de Roedores Plagas y Vectores en las instalaciones del Centro Agropecuario La Granja  con el fin de brindar a los usuarios de estos las condiciones de higiene, salubridad y seguridad para su normal funcionamiento,  proporcionando condiciones óptimas que permitan salvaguardar la vida de la comunidad educativa antes mencionada. Para ello se presenta la necesidad de: “CONTRATAR LA FUMIGACIÓN, CONTROL DE ROEDORES PLAGAS Y VECTORES, DEL CENTRO AGROPECUARIO LA GRANJA 2025”</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 acuerdo con lo anterior, se debe evitar la presencia de insectos y roedores que generan riesgos biológicos, químicos y físicos que afectan tanto a la comunidad educativa, como a las materias primas utilizadas en los diferentes espacios de formación; entre los que se cuentan, talleres, cafetería, cocinas, zonas verdes, ambientes de formación, pasillos, baños, entre otros. El Centro Agropecuario La Granja requiere garantizar el buen estado sanitario de todas las instalaciones, velando por el bienestar de los aprendices, funcionarios, contratistas y personas visitantes, protegiéndolas de las diferentes plagas transmisoras de enfermedades que constituyen un riesgo para la comunidad educativa, sumado a esto el Centro de formación cuenta con áreas de preparación y/o trasformación de alimentos en los talleres de agroindustria, cafetería y casino, en los cuales se debe garantizar procesos de asepsia y desinfección permanente.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Dentro de la gestión de las acciones relacionadas para el respectivo servicio de Fumigación, Control de Roedores Plagas y Vectores con la finalidad de prestar un servicio en el Centro de manera segura, higiénico, saludable, optimo, eficiente y coherente con la normatividad vigente que aplica para tal servicio. Razón por la cual se relacionan las especificaciones técnicas del objeto a contratar: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87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2"/>
        <w:gridCol w:w="1165"/>
        <w:gridCol w:w="1036"/>
        <w:gridCol w:w="1526"/>
        <w:gridCol w:w="3515"/>
        <w:tblGridChange w:id="0">
          <w:tblGrid>
            <w:gridCol w:w="1492"/>
            <w:gridCol w:w="1165"/>
            <w:gridCol w:w="1036"/>
            <w:gridCol w:w="1526"/>
            <w:gridCol w:w="3515"/>
          </w:tblGrid>
        </w:tblGridChange>
      </w:tblGrid>
      <w:tr>
        <w:trPr>
          <w:cantSplit w:val="0"/>
          <w:trHeight w:val="100" w:hRule="atLeast"/>
          <w:tblHeader w:val="0"/>
        </w:trPr>
        <w:tc>
          <w:tcPr>
            <w:shd w:fill="8db3e2" w:val="clear"/>
            <w:vAlign w:val="center"/>
          </w:tcPr>
          <w:p w:rsidR="00000000" w:rsidDel="00000000" w:rsidP="00000000" w:rsidRDefault="00000000" w:rsidRPr="00000000" w14:paraId="00000023">
            <w:pPr>
              <w:jc w:val="center"/>
              <w:rPr>
                <w:b w:val="1"/>
                <w:sz w:val="20"/>
                <w:szCs w:val="20"/>
              </w:rPr>
            </w:pPr>
            <w:r w:rsidDel="00000000" w:rsidR="00000000" w:rsidRPr="00000000">
              <w:rPr>
                <w:b w:val="1"/>
                <w:sz w:val="20"/>
                <w:szCs w:val="20"/>
                <w:rtl w:val="0"/>
              </w:rPr>
              <w:t xml:space="preserve">SEGMENTO</w:t>
            </w:r>
          </w:p>
        </w:tc>
        <w:tc>
          <w:tcPr>
            <w:shd w:fill="8db3e2" w:val="clear"/>
            <w:vAlign w:val="center"/>
          </w:tcPr>
          <w:p w:rsidR="00000000" w:rsidDel="00000000" w:rsidP="00000000" w:rsidRDefault="00000000" w:rsidRPr="00000000" w14:paraId="00000024">
            <w:pPr>
              <w:jc w:val="center"/>
              <w:rPr>
                <w:b w:val="1"/>
                <w:sz w:val="20"/>
                <w:szCs w:val="20"/>
              </w:rPr>
            </w:pPr>
            <w:r w:rsidDel="00000000" w:rsidR="00000000" w:rsidRPr="00000000">
              <w:rPr>
                <w:b w:val="1"/>
                <w:sz w:val="20"/>
                <w:szCs w:val="20"/>
                <w:rtl w:val="0"/>
              </w:rPr>
              <w:t xml:space="preserve">FAMILIA</w:t>
            </w:r>
          </w:p>
        </w:tc>
        <w:tc>
          <w:tcPr>
            <w:shd w:fill="8db3e2" w:val="clear"/>
            <w:vAlign w:val="center"/>
          </w:tcPr>
          <w:p w:rsidR="00000000" w:rsidDel="00000000" w:rsidP="00000000" w:rsidRDefault="00000000" w:rsidRPr="00000000" w14:paraId="00000025">
            <w:pPr>
              <w:jc w:val="center"/>
              <w:rPr>
                <w:b w:val="1"/>
                <w:sz w:val="20"/>
                <w:szCs w:val="20"/>
              </w:rPr>
            </w:pPr>
            <w:r w:rsidDel="00000000" w:rsidR="00000000" w:rsidRPr="00000000">
              <w:rPr>
                <w:b w:val="1"/>
                <w:sz w:val="20"/>
                <w:szCs w:val="20"/>
                <w:rtl w:val="0"/>
              </w:rPr>
              <w:t xml:space="preserve">CLASES</w:t>
            </w:r>
          </w:p>
        </w:tc>
        <w:tc>
          <w:tcPr>
            <w:shd w:fill="8db3e2" w:val="clear"/>
          </w:tcPr>
          <w:p w:rsidR="00000000" w:rsidDel="00000000" w:rsidP="00000000" w:rsidRDefault="00000000" w:rsidRPr="00000000" w14:paraId="00000026">
            <w:pPr>
              <w:jc w:val="center"/>
              <w:rPr>
                <w:b w:val="1"/>
                <w:sz w:val="20"/>
                <w:szCs w:val="20"/>
              </w:rPr>
            </w:pPr>
            <w:r w:rsidDel="00000000" w:rsidR="00000000" w:rsidRPr="00000000">
              <w:rPr>
                <w:b w:val="1"/>
                <w:sz w:val="20"/>
                <w:szCs w:val="20"/>
                <w:rtl w:val="0"/>
              </w:rPr>
              <w:t xml:space="preserve">CÓDIGO PRODUCTO</w:t>
            </w:r>
          </w:p>
        </w:tc>
        <w:tc>
          <w:tcPr>
            <w:shd w:fill="8db3e2" w:val="clear"/>
            <w:vAlign w:val="center"/>
          </w:tcPr>
          <w:p w:rsidR="00000000" w:rsidDel="00000000" w:rsidP="00000000" w:rsidRDefault="00000000" w:rsidRPr="00000000" w14:paraId="00000027">
            <w:pPr>
              <w:jc w:val="center"/>
              <w:rPr>
                <w:b w:val="1"/>
                <w:sz w:val="20"/>
                <w:szCs w:val="20"/>
              </w:rPr>
            </w:pPr>
            <w:r w:rsidDel="00000000" w:rsidR="00000000" w:rsidRPr="00000000">
              <w:rPr>
                <w:b w:val="1"/>
                <w:sz w:val="20"/>
                <w:szCs w:val="20"/>
                <w:rtl w:val="0"/>
              </w:rPr>
              <w:t xml:space="preserve">CLASE - PRODUCTO</w:t>
            </w:r>
          </w:p>
        </w:tc>
      </w:tr>
      <w:tr>
        <w:trPr>
          <w:cantSplit w:val="0"/>
          <w:trHeight w:val="388" w:hRule="atLeast"/>
          <w:tblHeader w:val="0"/>
        </w:trPr>
        <w:tc>
          <w:tcPr>
            <w:shd w:fill="ffffff" w:val="clear"/>
            <w:vAlign w:val="center"/>
          </w:tcPr>
          <w:p w:rsidR="00000000" w:rsidDel="00000000" w:rsidP="00000000" w:rsidRDefault="00000000" w:rsidRPr="00000000" w14:paraId="00000028">
            <w:pPr>
              <w:jc w:val="center"/>
              <w:rPr>
                <w:sz w:val="20"/>
                <w:szCs w:val="20"/>
              </w:rPr>
            </w:pPr>
            <w:r w:rsidDel="00000000" w:rsidR="00000000" w:rsidRPr="00000000">
              <w:rPr>
                <w:sz w:val="20"/>
                <w:szCs w:val="20"/>
                <w:rtl w:val="0"/>
              </w:rPr>
              <w:t xml:space="preserve">72</w:t>
            </w:r>
          </w:p>
        </w:tc>
        <w:tc>
          <w:tcPr>
            <w:shd w:fill="ffffff" w:val="clear"/>
            <w:vAlign w:val="center"/>
          </w:tcPr>
          <w:p w:rsidR="00000000" w:rsidDel="00000000" w:rsidP="00000000" w:rsidRDefault="00000000" w:rsidRPr="00000000" w14:paraId="00000029">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2A">
            <w:pPr>
              <w:jc w:val="center"/>
              <w:rPr>
                <w:sz w:val="20"/>
                <w:szCs w:val="20"/>
              </w:rPr>
            </w:pPr>
            <w:r w:rsidDel="00000000" w:rsidR="00000000" w:rsidRPr="00000000">
              <w:rPr>
                <w:sz w:val="20"/>
                <w:szCs w:val="20"/>
                <w:rtl w:val="0"/>
              </w:rPr>
              <w:t xml:space="preserve">21</w:t>
            </w:r>
          </w:p>
        </w:tc>
        <w:tc>
          <w:tcPr>
            <w:shd w:fill="ffffff" w:val="clear"/>
            <w:vAlign w:val="center"/>
          </w:tcPr>
          <w:p w:rsidR="00000000" w:rsidDel="00000000" w:rsidP="00000000" w:rsidRDefault="00000000" w:rsidRPr="00000000" w14:paraId="0000002B">
            <w:pPr>
              <w:jc w:val="right"/>
              <w:rPr>
                <w:sz w:val="20"/>
                <w:szCs w:val="20"/>
              </w:rPr>
            </w:pPr>
            <w:r w:rsidDel="00000000" w:rsidR="00000000" w:rsidRPr="00000000">
              <w:rPr>
                <w:sz w:val="20"/>
                <w:szCs w:val="20"/>
                <w:rtl w:val="0"/>
              </w:rPr>
              <w:t xml:space="preserve">72102103</w:t>
            </w:r>
          </w:p>
        </w:tc>
        <w:tc>
          <w:tcPr>
            <w:shd w:fill="ffffff" w:val="clear"/>
            <w:vAlign w:val="center"/>
          </w:tcPr>
          <w:p w:rsidR="00000000" w:rsidDel="00000000" w:rsidP="00000000" w:rsidRDefault="00000000" w:rsidRPr="00000000" w14:paraId="0000002C">
            <w:pPr>
              <w:rPr>
                <w:sz w:val="20"/>
                <w:szCs w:val="20"/>
              </w:rPr>
            </w:pPr>
            <w:r w:rsidDel="00000000" w:rsidR="00000000" w:rsidRPr="00000000">
              <w:rPr>
                <w:sz w:val="20"/>
                <w:szCs w:val="20"/>
                <w:rtl w:val="0"/>
              </w:rPr>
              <w:t xml:space="preserve">Servicios de exterminación o fumigación</w:t>
            </w:r>
          </w:p>
        </w:tc>
      </w:tr>
      <w:tr>
        <w:trPr>
          <w:cantSplit w:val="0"/>
          <w:trHeight w:val="388" w:hRule="atLeast"/>
          <w:tblHeader w:val="0"/>
        </w:trPr>
        <w:tc>
          <w:tcPr>
            <w:shd w:fill="ffffff" w:val="clear"/>
            <w:vAlign w:val="center"/>
          </w:tcPr>
          <w:p w:rsidR="00000000" w:rsidDel="00000000" w:rsidP="00000000" w:rsidRDefault="00000000" w:rsidRPr="00000000" w14:paraId="0000002D">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2E">
            <w:pPr>
              <w:jc w:val="center"/>
              <w:rPr>
                <w:sz w:val="20"/>
                <w:szCs w:val="20"/>
              </w:rPr>
            </w:pPr>
            <w:r w:rsidDel="00000000" w:rsidR="00000000" w:rsidRPr="00000000">
              <w:rPr>
                <w:sz w:val="20"/>
                <w:szCs w:val="20"/>
                <w:rtl w:val="0"/>
              </w:rPr>
              <w:t xml:space="preserve">19</w:t>
            </w:r>
          </w:p>
        </w:tc>
        <w:tc>
          <w:tcPr>
            <w:shd w:fill="ffffff" w:val="clear"/>
            <w:vAlign w:val="center"/>
          </w:tcPr>
          <w:p w:rsidR="00000000" w:rsidDel="00000000" w:rsidP="00000000" w:rsidRDefault="00000000" w:rsidRPr="00000000" w14:paraId="0000002F">
            <w:pPr>
              <w:jc w:val="center"/>
              <w:rPr>
                <w:sz w:val="20"/>
                <w:szCs w:val="20"/>
              </w:rPr>
            </w:pPr>
            <w:r w:rsidDel="00000000" w:rsidR="00000000" w:rsidRPr="00000000">
              <w:rPr>
                <w:sz w:val="20"/>
                <w:szCs w:val="20"/>
                <w:rtl w:val="0"/>
              </w:rPr>
              <w:t xml:space="preserve">15</w:t>
            </w:r>
          </w:p>
        </w:tc>
        <w:tc>
          <w:tcPr>
            <w:shd w:fill="ffffff" w:val="clear"/>
            <w:vAlign w:val="center"/>
          </w:tcPr>
          <w:p w:rsidR="00000000" w:rsidDel="00000000" w:rsidP="00000000" w:rsidRDefault="00000000" w:rsidRPr="00000000" w14:paraId="00000030">
            <w:pPr>
              <w:jc w:val="right"/>
              <w:rPr>
                <w:sz w:val="20"/>
                <w:szCs w:val="20"/>
              </w:rPr>
            </w:pPr>
            <w:r w:rsidDel="00000000" w:rsidR="00000000" w:rsidRPr="00000000">
              <w:rPr>
                <w:sz w:val="20"/>
                <w:szCs w:val="20"/>
                <w:rtl w:val="0"/>
              </w:rPr>
              <w:t xml:space="preserve">10191509</w:t>
            </w:r>
          </w:p>
        </w:tc>
        <w:tc>
          <w:tcPr>
            <w:shd w:fill="ffffff" w:val="clear"/>
            <w:vAlign w:val="center"/>
          </w:tcPr>
          <w:p w:rsidR="00000000" w:rsidDel="00000000" w:rsidP="00000000" w:rsidRDefault="00000000" w:rsidRPr="00000000" w14:paraId="00000031">
            <w:pPr>
              <w:rPr>
                <w:sz w:val="20"/>
                <w:szCs w:val="20"/>
              </w:rPr>
            </w:pPr>
            <w:r w:rsidDel="00000000" w:rsidR="00000000" w:rsidRPr="00000000">
              <w:rPr>
                <w:color w:val="000000"/>
                <w:sz w:val="20"/>
                <w:szCs w:val="20"/>
                <w:rtl w:val="0"/>
              </w:rPr>
              <w:t xml:space="preserve">insecticidas</w:t>
            </w:r>
            <w:r w:rsidDel="00000000" w:rsidR="00000000" w:rsidRPr="00000000">
              <w:rPr>
                <w:rtl w:val="0"/>
              </w:rPr>
            </w:r>
          </w:p>
        </w:tc>
      </w:tr>
      <w:tr>
        <w:trPr>
          <w:cantSplit w:val="0"/>
          <w:trHeight w:val="388" w:hRule="atLeast"/>
          <w:tblHeader w:val="0"/>
        </w:trPr>
        <w:tc>
          <w:tcPr>
            <w:shd w:fill="ffffff" w:val="clear"/>
            <w:vAlign w:val="center"/>
          </w:tcPr>
          <w:p w:rsidR="00000000" w:rsidDel="00000000" w:rsidP="00000000" w:rsidRDefault="00000000" w:rsidRPr="00000000" w14:paraId="00000032">
            <w:pPr>
              <w:jc w:val="center"/>
              <w:rPr>
                <w:sz w:val="20"/>
                <w:szCs w:val="20"/>
              </w:rPr>
            </w:pPr>
            <w:r w:rsidDel="00000000" w:rsidR="00000000" w:rsidRPr="00000000">
              <w:rPr>
                <w:sz w:val="20"/>
                <w:szCs w:val="20"/>
                <w:rtl w:val="0"/>
              </w:rPr>
              <w:t xml:space="preserve">73</w:t>
            </w:r>
          </w:p>
        </w:tc>
        <w:tc>
          <w:tcPr>
            <w:shd w:fill="ffffff" w:val="clear"/>
            <w:vAlign w:val="center"/>
          </w:tcPr>
          <w:p w:rsidR="00000000" w:rsidDel="00000000" w:rsidP="00000000" w:rsidRDefault="00000000" w:rsidRPr="00000000" w14:paraId="00000033">
            <w:pPr>
              <w:jc w:val="center"/>
              <w:rPr>
                <w:sz w:val="20"/>
                <w:szCs w:val="20"/>
              </w:rPr>
            </w:pPr>
            <w:r w:rsidDel="00000000" w:rsidR="00000000" w:rsidRPr="00000000">
              <w:rPr>
                <w:sz w:val="20"/>
                <w:szCs w:val="20"/>
                <w:rtl w:val="0"/>
              </w:rPr>
              <w:t xml:space="preserve">18</w:t>
            </w:r>
          </w:p>
        </w:tc>
        <w:tc>
          <w:tcPr>
            <w:shd w:fill="ffffff" w:val="clear"/>
            <w:vAlign w:val="center"/>
          </w:tcPr>
          <w:p w:rsidR="00000000" w:rsidDel="00000000" w:rsidP="00000000" w:rsidRDefault="00000000" w:rsidRPr="00000000" w14:paraId="00000034">
            <w:pPr>
              <w:jc w:val="center"/>
              <w:rPr>
                <w:sz w:val="20"/>
                <w:szCs w:val="20"/>
              </w:rPr>
            </w:pPr>
            <w:r w:rsidDel="00000000" w:rsidR="00000000" w:rsidRPr="00000000">
              <w:rPr>
                <w:sz w:val="20"/>
                <w:szCs w:val="20"/>
                <w:rtl w:val="0"/>
              </w:rPr>
              <w:t xml:space="preserve">11</w:t>
            </w:r>
          </w:p>
        </w:tc>
        <w:tc>
          <w:tcPr>
            <w:shd w:fill="ffffff" w:val="clear"/>
            <w:vAlign w:val="center"/>
          </w:tcPr>
          <w:p w:rsidR="00000000" w:rsidDel="00000000" w:rsidP="00000000" w:rsidRDefault="00000000" w:rsidRPr="00000000" w14:paraId="00000035">
            <w:pPr>
              <w:jc w:val="right"/>
              <w:rPr>
                <w:sz w:val="20"/>
                <w:szCs w:val="20"/>
              </w:rPr>
            </w:pPr>
            <w:r w:rsidDel="00000000" w:rsidR="00000000" w:rsidRPr="00000000">
              <w:rPr>
                <w:sz w:val="20"/>
                <w:szCs w:val="20"/>
                <w:rtl w:val="0"/>
              </w:rPr>
              <w:t xml:space="preserve">73181104</w:t>
            </w:r>
          </w:p>
        </w:tc>
        <w:tc>
          <w:tcPr>
            <w:shd w:fill="ffffff" w:val="clear"/>
            <w:vAlign w:val="center"/>
          </w:tcPr>
          <w:p w:rsidR="00000000" w:rsidDel="00000000" w:rsidP="00000000" w:rsidRDefault="00000000" w:rsidRPr="00000000" w14:paraId="00000036">
            <w:pPr>
              <w:rPr>
                <w:sz w:val="20"/>
                <w:szCs w:val="20"/>
              </w:rPr>
            </w:pPr>
            <w:r w:rsidDel="00000000" w:rsidR="00000000" w:rsidRPr="00000000">
              <w:rPr>
                <w:color w:val="000000"/>
                <w:sz w:val="20"/>
                <w:szCs w:val="20"/>
                <w:rtl w:val="0"/>
              </w:rPr>
              <w:t xml:space="preserve">Servicios de pintura</w:t>
            </w:r>
            <w:r w:rsidDel="00000000" w:rsidR="00000000" w:rsidRPr="00000000">
              <w:rPr>
                <w:rtl w:val="0"/>
              </w:rPr>
            </w:r>
          </w:p>
        </w:tc>
      </w:tr>
      <w:tr>
        <w:trPr>
          <w:cantSplit w:val="0"/>
          <w:trHeight w:val="388" w:hRule="atLeast"/>
          <w:tblHeader w:val="0"/>
        </w:trPr>
        <w:tc>
          <w:tcPr>
            <w:shd w:fill="ffffff" w:val="clear"/>
            <w:vAlign w:val="center"/>
          </w:tcPr>
          <w:p w:rsidR="00000000" w:rsidDel="00000000" w:rsidP="00000000" w:rsidRDefault="00000000" w:rsidRPr="00000000" w14:paraId="00000037">
            <w:pPr>
              <w:jc w:val="center"/>
              <w:rPr>
                <w:sz w:val="20"/>
                <w:szCs w:val="20"/>
              </w:rPr>
            </w:pPr>
            <w:r w:rsidDel="00000000" w:rsidR="00000000" w:rsidRPr="00000000">
              <w:rPr>
                <w:sz w:val="20"/>
                <w:szCs w:val="20"/>
                <w:rtl w:val="0"/>
              </w:rPr>
              <w:t xml:space="preserve">39</w:t>
            </w:r>
          </w:p>
        </w:tc>
        <w:tc>
          <w:tcPr>
            <w:shd w:fill="ffffff" w:val="clear"/>
            <w:vAlign w:val="center"/>
          </w:tcPr>
          <w:p w:rsidR="00000000" w:rsidDel="00000000" w:rsidP="00000000" w:rsidRDefault="00000000" w:rsidRPr="00000000" w14:paraId="00000038">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39">
            <w:pPr>
              <w:jc w:val="center"/>
              <w:rPr>
                <w:sz w:val="20"/>
                <w:szCs w:val="20"/>
              </w:rPr>
            </w:pPr>
            <w:r w:rsidDel="00000000" w:rsidR="00000000" w:rsidRPr="00000000">
              <w:rPr>
                <w:sz w:val="20"/>
                <w:szCs w:val="20"/>
                <w:rtl w:val="0"/>
              </w:rPr>
              <w:t xml:space="preserve">16</w:t>
            </w:r>
          </w:p>
        </w:tc>
        <w:tc>
          <w:tcPr>
            <w:shd w:fill="ffffff" w:val="clear"/>
            <w:vAlign w:val="center"/>
          </w:tcPr>
          <w:p w:rsidR="00000000" w:rsidDel="00000000" w:rsidP="00000000" w:rsidRDefault="00000000" w:rsidRPr="00000000" w14:paraId="0000003A">
            <w:pPr>
              <w:jc w:val="right"/>
              <w:rPr>
                <w:sz w:val="20"/>
                <w:szCs w:val="20"/>
              </w:rPr>
            </w:pPr>
            <w:r w:rsidDel="00000000" w:rsidR="00000000" w:rsidRPr="00000000">
              <w:rPr>
                <w:sz w:val="20"/>
                <w:szCs w:val="20"/>
                <w:rtl w:val="0"/>
              </w:rPr>
              <w:t xml:space="preserve">39101616</w:t>
            </w:r>
          </w:p>
        </w:tc>
        <w:tc>
          <w:tcPr>
            <w:shd w:fill="ffffff" w:val="clear"/>
            <w:vAlign w:val="center"/>
          </w:tcPr>
          <w:p w:rsidR="00000000" w:rsidDel="00000000" w:rsidP="00000000" w:rsidRDefault="00000000" w:rsidRPr="00000000" w14:paraId="0000003B">
            <w:pPr>
              <w:rPr>
                <w:sz w:val="20"/>
                <w:szCs w:val="20"/>
              </w:rPr>
            </w:pPr>
            <w:r w:rsidDel="00000000" w:rsidR="00000000" w:rsidRPr="00000000">
              <w:rPr>
                <w:color w:val="000000"/>
                <w:sz w:val="20"/>
                <w:szCs w:val="20"/>
                <w:rtl w:val="0"/>
              </w:rPr>
              <w:t xml:space="preserve">Lámparas de rayos ultravioleta (uv)</w:t>
            </w:r>
            <w:r w:rsidDel="00000000" w:rsidR="00000000" w:rsidRPr="00000000">
              <w:rPr>
                <w:rtl w:val="0"/>
              </w:rPr>
            </w:r>
          </w:p>
        </w:tc>
      </w:tr>
      <w:tr>
        <w:trPr>
          <w:cantSplit w:val="0"/>
          <w:trHeight w:val="388" w:hRule="atLeast"/>
          <w:tblHeader w:val="0"/>
        </w:trPr>
        <w:tc>
          <w:tcPr>
            <w:shd w:fill="ffffff" w:val="clear"/>
            <w:vAlign w:val="center"/>
          </w:tcPr>
          <w:p w:rsidR="00000000" w:rsidDel="00000000" w:rsidP="00000000" w:rsidRDefault="00000000" w:rsidRPr="00000000" w14:paraId="0000003C">
            <w:pPr>
              <w:jc w:val="center"/>
              <w:rPr>
                <w:sz w:val="20"/>
                <w:szCs w:val="20"/>
              </w:rPr>
            </w:pPr>
            <w:r w:rsidDel="00000000" w:rsidR="00000000" w:rsidRPr="00000000">
              <w:rPr>
                <w:sz w:val="20"/>
                <w:szCs w:val="20"/>
                <w:rtl w:val="0"/>
              </w:rPr>
              <w:t xml:space="preserve">72</w:t>
            </w:r>
          </w:p>
        </w:tc>
        <w:tc>
          <w:tcPr>
            <w:shd w:fill="ffffff" w:val="clear"/>
            <w:vAlign w:val="center"/>
          </w:tcPr>
          <w:p w:rsidR="00000000" w:rsidDel="00000000" w:rsidP="00000000" w:rsidRDefault="00000000" w:rsidRPr="00000000" w14:paraId="0000003D">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3E">
            <w:pPr>
              <w:jc w:val="center"/>
              <w:rPr>
                <w:sz w:val="20"/>
                <w:szCs w:val="20"/>
              </w:rPr>
            </w:pPr>
            <w:r w:rsidDel="00000000" w:rsidR="00000000" w:rsidRPr="00000000">
              <w:rPr>
                <w:sz w:val="20"/>
                <w:szCs w:val="20"/>
                <w:rtl w:val="0"/>
              </w:rPr>
              <w:t xml:space="preserve">21</w:t>
            </w:r>
          </w:p>
        </w:tc>
        <w:tc>
          <w:tcPr>
            <w:shd w:fill="ffffff" w:val="clear"/>
            <w:vAlign w:val="center"/>
          </w:tcPr>
          <w:p w:rsidR="00000000" w:rsidDel="00000000" w:rsidP="00000000" w:rsidRDefault="00000000" w:rsidRPr="00000000" w14:paraId="0000003F">
            <w:pPr>
              <w:jc w:val="right"/>
              <w:rPr>
                <w:sz w:val="20"/>
                <w:szCs w:val="20"/>
              </w:rPr>
            </w:pPr>
            <w:r w:rsidDel="00000000" w:rsidR="00000000" w:rsidRPr="00000000">
              <w:rPr>
                <w:sz w:val="20"/>
                <w:szCs w:val="20"/>
                <w:rtl w:val="0"/>
              </w:rPr>
              <w:t xml:space="preserve">72102102</w:t>
            </w:r>
          </w:p>
        </w:tc>
        <w:tc>
          <w:tcPr>
            <w:shd w:fill="ffffff" w:val="clear"/>
            <w:vAlign w:val="center"/>
          </w:tcPr>
          <w:p w:rsidR="00000000" w:rsidDel="00000000" w:rsidP="00000000" w:rsidRDefault="00000000" w:rsidRPr="00000000" w14:paraId="00000040">
            <w:pPr>
              <w:rPr>
                <w:sz w:val="20"/>
                <w:szCs w:val="20"/>
              </w:rPr>
            </w:pPr>
            <w:r w:rsidDel="00000000" w:rsidR="00000000" w:rsidRPr="00000000">
              <w:rPr>
                <w:color w:val="000000"/>
                <w:sz w:val="20"/>
                <w:szCs w:val="20"/>
                <w:rtl w:val="0"/>
              </w:rPr>
              <w:t xml:space="preserve">Servicios de control de termitas</w:t>
            </w:r>
            <w:r w:rsidDel="00000000" w:rsidR="00000000" w:rsidRPr="00000000">
              <w:rPr>
                <w:rtl w:val="0"/>
              </w:rPr>
            </w:r>
          </w:p>
        </w:tc>
      </w:tr>
      <w:tr>
        <w:trPr>
          <w:cantSplit w:val="0"/>
          <w:trHeight w:val="388" w:hRule="atLeast"/>
          <w:tblHeader w:val="0"/>
        </w:trPr>
        <w:tc>
          <w:tcPr>
            <w:shd w:fill="ffffff" w:val="clear"/>
            <w:vAlign w:val="center"/>
          </w:tcPr>
          <w:p w:rsidR="00000000" w:rsidDel="00000000" w:rsidP="00000000" w:rsidRDefault="00000000" w:rsidRPr="00000000" w14:paraId="00000041">
            <w:pPr>
              <w:jc w:val="center"/>
              <w:rPr>
                <w:sz w:val="20"/>
                <w:szCs w:val="20"/>
              </w:rPr>
            </w:pPr>
            <w:r w:rsidDel="00000000" w:rsidR="00000000" w:rsidRPr="00000000">
              <w:rPr>
                <w:sz w:val="20"/>
                <w:szCs w:val="20"/>
                <w:rtl w:val="0"/>
              </w:rPr>
              <w:t xml:space="preserve">72</w:t>
            </w:r>
          </w:p>
        </w:tc>
        <w:tc>
          <w:tcPr>
            <w:shd w:fill="ffffff" w:val="clear"/>
            <w:vAlign w:val="center"/>
          </w:tcPr>
          <w:p w:rsidR="00000000" w:rsidDel="00000000" w:rsidP="00000000" w:rsidRDefault="00000000" w:rsidRPr="00000000" w14:paraId="00000042">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43">
            <w:pPr>
              <w:jc w:val="center"/>
              <w:rPr>
                <w:sz w:val="20"/>
                <w:szCs w:val="20"/>
              </w:rPr>
            </w:pPr>
            <w:r w:rsidDel="00000000" w:rsidR="00000000" w:rsidRPr="00000000">
              <w:rPr>
                <w:sz w:val="20"/>
                <w:szCs w:val="20"/>
                <w:rtl w:val="0"/>
              </w:rPr>
              <w:t xml:space="preserve">21</w:t>
            </w:r>
          </w:p>
        </w:tc>
        <w:tc>
          <w:tcPr>
            <w:shd w:fill="ffffff" w:val="clear"/>
            <w:vAlign w:val="center"/>
          </w:tcPr>
          <w:p w:rsidR="00000000" w:rsidDel="00000000" w:rsidP="00000000" w:rsidRDefault="00000000" w:rsidRPr="00000000" w14:paraId="00000044">
            <w:pPr>
              <w:jc w:val="right"/>
              <w:rPr>
                <w:sz w:val="20"/>
                <w:szCs w:val="20"/>
              </w:rPr>
            </w:pPr>
            <w:r w:rsidDel="00000000" w:rsidR="00000000" w:rsidRPr="00000000">
              <w:rPr>
                <w:sz w:val="20"/>
                <w:szCs w:val="20"/>
                <w:rtl w:val="0"/>
              </w:rPr>
              <w:t xml:space="preserve">72102104</w:t>
            </w:r>
          </w:p>
        </w:tc>
        <w:tc>
          <w:tcPr>
            <w:shd w:fill="ffffff" w:val="clear"/>
            <w:vAlign w:val="center"/>
          </w:tcPr>
          <w:p w:rsidR="00000000" w:rsidDel="00000000" w:rsidP="00000000" w:rsidRDefault="00000000" w:rsidRPr="00000000" w14:paraId="00000045">
            <w:pPr>
              <w:rPr>
                <w:color w:val="000000"/>
                <w:sz w:val="20"/>
                <w:szCs w:val="20"/>
              </w:rPr>
            </w:pPr>
            <w:r w:rsidDel="00000000" w:rsidR="00000000" w:rsidRPr="00000000">
              <w:rPr>
                <w:color w:val="000000"/>
                <w:sz w:val="20"/>
                <w:szCs w:val="20"/>
                <w:rtl w:val="0"/>
              </w:rPr>
              <w:t xml:space="preserve">Control estructural de plagas</w:t>
            </w:r>
          </w:p>
        </w:tc>
      </w:tr>
      <w:tr>
        <w:trPr>
          <w:cantSplit w:val="0"/>
          <w:trHeight w:val="388" w:hRule="atLeast"/>
          <w:tblHeader w:val="0"/>
        </w:trPr>
        <w:tc>
          <w:tcPr>
            <w:shd w:fill="ffffff" w:val="clear"/>
            <w:vAlign w:val="center"/>
          </w:tcPr>
          <w:p w:rsidR="00000000" w:rsidDel="00000000" w:rsidP="00000000" w:rsidRDefault="00000000" w:rsidRPr="00000000" w14:paraId="00000046">
            <w:pPr>
              <w:jc w:val="center"/>
              <w:rPr>
                <w:sz w:val="20"/>
                <w:szCs w:val="20"/>
              </w:rPr>
            </w:pPr>
            <w:r w:rsidDel="00000000" w:rsidR="00000000" w:rsidRPr="00000000">
              <w:rPr>
                <w:sz w:val="20"/>
                <w:szCs w:val="20"/>
                <w:rtl w:val="0"/>
              </w:rPr>
              <w:t xml:space="preserve">82</w:t>
            </w:r>
          </w:p>
        </w:tc>
        <w:tc>
          <w:tcPr>
            <w:shd w:fill="ffffff" w:val="clear"/>
            <w:vAlign w:val="center"/>
          </w:tcPr>
          <w:p w:rsidR="00000000" w:rsidDel="00000000" w:rsidP="00000000" w:rsidRDefault="00000000" w:rsidRPr="00000000" w14:paraId="00000047">
            <w:pPr>
              <w:jc w:val="center"/>
              <w:rPr>
                <w:sz w:val="20"/>
                <w:szCs w:val="20"/>
              </w:rPr>
            </w:pPr>
            <w:r w:rsidDel="00000000" w:rsidR="00000000" w:rsidRPr="00000000">
              <w:rPr>
                <w:sz w:val="20"/>
                <w:szCs w:val="20"/>
                <w:rtl w:val="0"/>
              </w:rPr>
              <w:t xml:space="preserve">10</w:t>
            </w:r>
          </w:p>
        </w:tc>
        <w:tc>
          <w:tcPr>
            <w:shd w:fill="ffffff" w:val="clear"/>
            <w:vAlign w:val="center"/>
          </w:tcPr>
          <w:p w:rsidR="00000000" w:rsidDel="00000000" w:rsidP="00000000" w:rsidRDefault="00000000" w:rsidRPr="00000000" w14:paraId="00000048">
            <w:pPr>
              <w:jc w:val="center"/>
              <w:rPr>
                <w:sz w:val="20"/>
                <w:szCs w:val="20"/>
              </w:rPr>
            </w:pPr>
            <w:r w:rsidDel="00000000" w:rsidR="00000000" w:rsidRPr="00000000">
              <w:rPr>
                <w:sz w:val="20"/>
                <w:szCs w:val="20"/>
                <w:rtl w:val="0"/>
              </w:rPr>
              <w:t xml:space="preserve">15</w:t>
            </w:r>
          </w:p>
        </w:tc>
        <w:tc>
          <w:tcPr>
            <w:shd w:fill="ffffff" w:val="clear"/>
            <w:vAlign w:val="center"/>
          </w:tcPr>
          <w:p w:rsidR="00000000" w:rsidDel="00000000" w:rsidP="00000000" w:rsidRDefault="00000000" w:rsidRPr="00000000" w14:paraId="00000049">
            <w:pPr>
              <w:jc w:val="right"/>
              <w:rPr>
                <w:sz w:val="20"/>
                <w:szCs w:val="20"/>
              </w:rPr>
            </w:pPr>
            <w:r w:rsidDel="00000000" w:rsidR="00000000" w:rsidRPr="00000000">
              <w:rPr>
                <w:sz w:val="20"/>
                <w:szCs w:val="20"/>
                <w:rtl w:val="0"/>
              </w:rPr>
              <w:t xml:space="preserve">82101501</w:t>
            </w:r>
          </w:p>
        </w:tc>
        <w:tc>
          <w:tcPr>
            <w:shd w:fill="ffffff" w:val="clear"/>
            <w:vAlign w:val="center"/>
          </w:tcPr>
          <w:p w:rsidR="00000000" w:rsidDel="00000000" w:rsidP="00000000" w:rsidRDefault="00000000" w:rsidRPr="00000000" w14:paraId="0000004A">
            <w:pPr>
              <w:rPr>
                <w:color w:val="000000"/>
                <w:sz w:val="20"/>
                <w:szCs w:val="20"/>
              </w:rPr>
            </w:pPr>
            <w:r w:rsidDel="00000000" w:rsidR="00000000" w:rsidRPr="00000000">
              <w:rPr>
                <w:color w:val="000000"/>
                <w:sz w:val="20"/>
                <w:szCs w:val="20"/>
                <w:rtl w:val="0"/>
              </w:rPr>
              <w:t xml:space="preserve">Publicidad en vallas</w:t>
            </w:r>
          </w:p>
        </w:tc>
      </w:tr>
      <w:tr>
        <w:trPr>
          <w:cantSplit w:val="0"/>
          <w:trHeight w:val="388" w:hRule="atLeast"/>
          <w:tblHeader w:val="0"/>
        </w:trPr>
        <w:tc>
          <w:tcPr>
            <w:shd w:fill="ffffff" w:val="clear"/>
            <w:vAlign w:val="center"/>
          </w:tcPr>
          <w:p w:rsidR="00000000" w:rsidDel="00000000" w:rsidP="00000000" w:rsidRDefault="00000000" w:rsidRPr="00000000" w14:paraId="0000004B">
            <w:pPr>
              <w:jc w:val="center"/>
              <w:rPr>
                <w:sz w:val="20"/>
                <w:szCs w:val="20"/>
              </w:rPr>
            </w:pPr>
            <w:r w:rsidDel="00000000" w:rsidR="00000000" w:rsidRPr="00000000">
              <w:rPr>
                <w:sz w:val="20"/>
                <w:szCs w:val="20"/>
                <w:rtl w:val="0"/>
              </w:rPr>
              <w:t xml:space="preserve">49</w:t>
            </w:r>
          </w:p>
        </w:tc>
        <w:tc>
          <w:tcPr>
            <w:shd w:fill="ffffff" w:val="clear"/>
            <w:vAlign w:val="center"/>
          </w:tcPr>
          <w:p w:rsidR="00000000" w:rsidDel="00000000" w:rsidP="00000000" w:rsidRDefault="00000000" w:rsidRPr="00000000" w14:paraId="0000004C">
            <w:pPr>
              <w:jc w:val="center"/>
              <w:rPr>
                <w:sz w:val="20"/>
                <w:szCs w:val="20"/>
              </w:rPr>
            </w:pPr>
            <w:r w:rsidDel="00000000" w:rsidR="00000000" w:rsidRPr="00000000">
              <w:rPr>
                <w:sz w:val="20"/>
                <w:szCs w:val="20"/>
                <w:rtl w:val="0"/>
              </w:rPr>
              <w:t xml:space="preserve">12</w:t>
            </w:r>
          </w:p>
        </w:tc>
        <w:tc>
          <w:tcPr>
            <w:shd w:fill="ffffff" w:val="clear"/>
            <w:vAlign w:val="center"/>
          </w:tcPr>
          <w:p w:rsidR="00000000" w:rsidDel="00000000" w:rsidP="00000000" w:rsidRDefault="00000000" w:rsidRPr="00000000" w14:paraId="0000004D">
            <w:pPr>
              <w:jc w:val="center"/>
              <w:rPr>
                <w:sz w:val="20"/>
                <w:szCs w:val="20"/>
              </w:rPr>
            </w:pPr>
            <w:r w:rsidDel="00000000" w:rsidR="00000000" w:rsidRPr="00000000">
              <w:rPr>
                <w:sz w:val="20"/>
                <w:szCs w:val="20"/>
                <w:rtl w:val="0"/>
              </w:rPr>
              <w:t xml:space="preserve">15</w:t>
            </w:r>
          </w:p>
        </w:tc>
        <w:tc>
          <w:tcPr>
            <w:shd w:fill="ffffff" w:val="clear"/>
            <w:vAlign w:val="center"/>
          </w:tcPr>
          <w:p w:rsidR="00000000" w:rsidDel="00000000" w:rsidP="00000000" w:rsidRDefault="00000000" w:rsidRPr="00000000" w14:paraId="0000004E">
            <w:pPr>
              <w:jc w:val="right"/>
              <w:rPr>
                <w:sz w:val="20"/>
                <w:szCs w:val="20"/>
              </w:rPr>
            </w:pPr>
            <w:r w:rsidDel="00000000" w:rsidR="00000000" w:rsidRPr="00000000">
              <w:rPr>
                <w:sz w:val="20"/>
                <w:szCs w:val="20"/>
                <w:rtl w:val="0"/>
              </w:rPr>
              <w:t xml:space="preserve">49121508</w:t>
            </w:r>
          </w:p>
        </w:tc>
        <w:tc>
          <w:tcPr>
            <w:shd w:fill="ffffff" w:val="clear"/>
            <w:vAlign w:val="center"/>
          </w:tcPr>
          <w:p w:rsidR="00000000" w:rsidDel="00000000" w:rsidP="00000000" w:rsidRDefault="00000000" w:rsidRPr="00000000" w14:paraId="0000004F">
            <w:pPr>
              <w:rPr>
                <w:color w:val="000000"/>
                <w:sz w:val="20"/>
                <w:szCs w:val="20"/>
              </w:rPr>
            </w:pPr>
            <w:r w:rsidDel="00000000" w:rsidR="00000000" w:rsidRPr="00000000">
              <w:rPr>
                <w:color w:val="000000"/>
                <w:sz w:val="20"/>
                <w:szCs w:val="20"/>
                <w:rtl w:val="0"/>
              </w:rPr>
              <w:t xml:space="preserve">Mosquiteros</w:t>
            </w:r>
          </w:p>
        </w:tc>
      </w:tr>
    </w:tb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Modalidad de Selección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 Entidad identificó que la necesidad puede ser satisfecha por persona natural o jurídica que cumpla con los requisitos exigidos en el Estudio Previo y que ofrezca las condiciones técnicas, legales, financieras y demás dentro del proceso de Selección Abreviada de Menor, para cumplimiento del objeto contractual.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 escogencia del contratista se efectuará a través de la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modalidad contractual de mínima cuantía</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teniendo en cuenta el regulada por el Articulo 2.2.1.2.1.5.1 del Decreto 1082 de 2015 modificado con el artículo primero del Decreto 1860 de 2021</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Conforme lo anterior, la Entidad Estatal aceptará la oferta del proponente que haya cumplido con los requisitos de la Invitación Pública y que haya ofrecido el menor valor de conformidad con lo establecido en el numeral 6 del artículo 2.2.1.2.1.5.2. del decreto 1082 de 2015</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Condiciones del Contrato:</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Plazo del contrato:</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El plazo de ejecución del contrato será de noventa (90) días calendario, sin exceder el 30 de diciembre de 2025, contados a partir de la firma de la respectiva acta de inicio, previo cumplimiento de los requisitos de ejecución (Registro Presupuestal y Aprobación de la Garantía Única). </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Lugar de Ejecución: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El contrato que se suscriba será ejecutado en las instalaciones del Centro Agropecuario La Granja.   – El Espinal, ubicada en el Km. 5 vía El Espinal – Ibagué, vereda Dindalito.</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Obligaciones de las Partes: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Obligaciones del contratista: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Ejecutar el objeto del contrato bajo las condiciones de calidad, oportunidad y obligaciones definidas en el proceso de contratación.</w:t>
      </w:r>
    </w:p>
    <w:p w:rsidR="00000000" w:rsidDel="00000000" w:rsidP="00000000" w:rsidRDefault="00000000" w:rsidRPr="00000000" w14:paraId="000000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Cumplir con las especificaciones técnicas del objeto presentadas en la oferta.</w:t>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Entregar, a partir de los (3) días hábiles siguientes a la suscrición del negocio jurídico, la(s) garantía(s) exigida en los estudios previos en los términos establecidos.</w:t>
      </w:r>
    </w:p>
    <w:p w:rsidR="00000000" w:rsidDel="00000000" w:rsidP="00000000" w:rsidRDefault="00000000" w:rsidRPr="00000000" w14:paraId="0000006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Mantener, durante toda la vigencia del contrato, los precios incluidos en su oferta.</w:t>
      </w:r>
    </w:p>
    <w:p w:rsidR="00000000" w:rsidDel="00000000" w:rsidP="00000000" w:rsidRDefault="00000000" w:rsidRPr="00000000" w14:paraId="000000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Obrar con lealtad y buena fe en las distintas etapas contractuales, evitando dilaciones.</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Cuando se encuentre obligado, EL CONTRATISTA deberá presentar la facturación electrónica, previamente validada por la DIAN, como requisito para el pago de los bienes y/o servicios contratados, conforme con las disposiciones legales vigentes. Las facturas o cuentas de cobro correspondientes deberán ser presentadas según la periodicidad establecida.</w:t>
      </w:r>
    </w:p>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Responder en los plazos establezca la entidad, los requerimientos de aclaración o de información que le sean formulados.</w:t>
      </w:r>
    </w:p>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Cumplir cabalmente con sus obligaciones frente al Sistema de Seguridad Social Integral y parafiscales (Cajas de Compensación Familiar, SENA e ICBF). En el evento de no estar obligada al pago de aportes parafiscales o contratación de aprendices, el contratista aportará certificación suscrita por el Representante legal o la persona natural. El cumplimiento de esta obligación es requisito indispensable para efectuar cualquier pago.</w:t>
      </w:r>
    </w:p>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Controlar la ejecución del contrato, a fin de evitar la sobre ejecución del mismo.</w:t>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Guardar la confidencialidad de toda la información que le sea entregada y que se encuentre bajo su custodia o que por cualquier otra circunstancia deba conocer o manipular. El desconocimiento de esta obligación acarreará consecuencias de índole civil, penal y/o disciplinariamente por los perjuicios de su divulgación y/o utilización indebida que por sí o por un tercero se cause a la entidad.</w:t>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Informar, por escrito y dentro de los 3 días hábiles siguientes a su materialización, cualquier eventualidad de fuerza mayor o caso fortuito que afecte la normal y correcta ejecución del contrato.</w:t>
      </w:r>
    </w:p>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Dar a conocer al SENA cualquier reclamación, petición, orden o similar de terceros que indirecta o directamente pueda tener algún efecto sobre la ejecución del contrato o sobre sus obligaciones.</w:t>
      </w:r>
    </w:p>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No acceder a peticiones o amenazas de quienes actuando por fuera de la ley pretendan obligarlo a hacer u omitir algún acto o hecho. El contratista deberá informar de tal evento al SENA, dentro de los 3 días hábiles siguientes a su ocurrencia, y a las autoridades competentes para que se adopten las medidas necesarias.</w:t>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Restituir al SENA, al finalizar el contrato, los elementos que haya colocado a su disposición para el desarrollo del objeto contractual, en caso de que se hayan suministrado.</w:t>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Las demás que se estimen de acuerdo con la naturaleza de la contratación.</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Obligaciones Específicas del Contratista:</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contar con los equipos, elementos y mano de obra idónea para prestar debidamente el servicio. </w:t>
      </w:r>
    </w:p>
    <w:p w:rsidR="00000000" w:rsidDel="00000000" w:rsidP="00000000" w:rsidRDefault="00000000" w:rsidRPr="00000000" w14:paraId="00000076">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Presentar un diagnóstico inicial de condiciones en las que se encuentra el área a fumigar, por cada una de las sedes. </w:t>
      </w:r>
    </w:p>
    <w:p w:rsidR="00000000" w:rsidDel="00000000" w:rsidP="00000000" w:rsidRDefault="00000000" w:rsidRPr="00000000" w14:paraId="00000077">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allegar las hojas de datos de seguridad con 16 secciones según NTC 4435 del 15/12/2010 de los plaguicidas, al supervisor del contrato de forma física y/o digital. Cabe resaltar que en ningún caso podrán ser de categoría toxicológica I y II a excepción de rodenticidas, fumigantes de granos e inmunizantes de madera. </w:t>
      </w:r>
    </w:p>
    <w:p w:rsidR="00000000" w:rsidDel="00000000" w:rsidP="00000000" w:rsidRDefault="00000000" w:rsidRPr="00000000" w14:paraId="00000078">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Llegado el caso de hacer cambios del personal relacionado en la presentación de la oferta, el Contratista deberá allegar los soportes de curso de capacitación y entrenamiento denominado “uso y manejo seguro sanitario de plaguicidas en salud pública” del personal que labora con plaguicidas, con una intensidad mínima de 60 horas acumulables al año. Estos documentos deberán ser presentados en la inducción de Seguridad y salud en el trabajo y ambiental antes de iniciar las labores. </w:t>
      </w:r>
    </w:p>
    <w:p w:rsidR="00000000" w:rsidDel="00000000" w:rsidP="00000000" w:rsidRDefault="00000000" w:rsidRPr="00000000" w14:paraId="00000079">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entregar la certificación de idoneidad a la entidad que haya impartido el curso a los asistentes técnicos de las Empresas Aplicadores de Plaguicidas, conforme al artículo 109 del Decreto 1843 de 1991. </w:t>
      </w:r>
    </w:p>
    <w:p w:rsidR="00000000" w:rsidDel="00000000" w:rsidP="00000000" w:rsidRDefault="00000000" w:rsidRPr="00000000" w14:paraId="0000007A">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tomar todas las medidas de seguridad en el manejo de plaguicidas; para ello el personal debe contar con su respectiva dotación y contar con el carné vigente de manipulador de plaguicidas en salud pública expedido por la secretaria de salud.</w:t>
      </w:r>
    </w:p>
    <w:p w:rsidR="00000000" w:rsidDel="00000000" w:rsidP="00000000" w:rsidRDefault="00000000" w:rsidRPr="00000000" w14:paraId="0000007B">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realizar el servicio de desinfección en las áreas afectadas, aplicando productos ambientalmente seguros, sólo podrán utilizar plaguicidas registrados y permitidos por el Ministerio de Salud, los cuales, a excepción de los rodenticidas, fumigantes de granos e inmunizantes de madera en ningún otro caso podrán ser de Categoría Toxicológica I y II. </w:t>
      </w:r>
    </w:p>
    <w:p w:rsidR="00000000" w:rsidDel="00000000" w:rsidP="00000000" w:rsidRDefault="00000000" w:rsidRPr="00000000" w14:paraId="0000007C">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presentar un informe por cada una de las fumigaciones efectuadas, indicando la labor realizada, los productos aplicados, el grado de disminución de la plaga en caso de que esté presente, las acciones preventivas o correctivas para ejercer control ante las plagas y observaciones. Este reporte deberá ser presentado al supervisor del contrato.</w:t>
      </w:r>
    </w:p>
    <w:p w:rsidR="00000000" w:rsidDel="00000000" w:rsidP="00000000" w:rsidRDefault="00000000" w:rsidRPr="00000000" w14:paraId="0000007D">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responsabilizarse de los residuos de envases de plaguicidas y afines que genere, dándoles una adecuada disposición final, por lo cual deberá entregar al centro, de forma física o digital, el certificado de disposición final de dichos residuos, para esto, tendrá un máximo 8 meses contados a partir de su generación, acorde con los plazos establecidos en el Decreto 1076 de 2015. </w:t>
      </w:r>
    </w:p>
    <w:p w:rsidR="00000000" w:rsidDel="00000000" w:rsidP="00000000" w:rsidRDefault="00000000" w:rsidRPr="00000000" w14:paraId="0000007E">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Informar a los funcionarios que se encuentren en las áreas, las precauciones que se deben tomar después de haber realizado la fumigación, las cuales deben ser atendidas rigurosamente. </w:t>
      </w:r>
    </w:p>
    <w:p w:rsidR="00000000" w:rsidDel="00000000" w:rsidP="00000000" w:rsidRDefault="00000000" w:rsidRPr="00000000" w14:paraId="0000007F">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realizará un cronograma de trabajo para la fumigación, distribuyendo los tiempos y las actividades, teniendo en cuenta la programación establecida por el Supervisor del contrato. </w:t>
      </w:r>
    </w:p>
    <w:p w:rsidR="00000000" w:rsidDel="00000000" w:rsidP="00000000" w:rsidRDefault="00000000" w:rsidRPr="00000000" w14:paraId="00000080">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disponer de los equipos necesarios para la protección de los operarios que desarrollen el servicio, quienes deberán cumplir con los requisitos legales en cuanto a seguridad social, seguridad y salud en el trabajo. </w:t>
      </w:r>
    </w:p>
    <w:p w:rsidR="00000000" w:rsidDel="00000000" w:rsidP="00000000" w:rsidRDefault="00000000" w:rsidRPr="00000000" w14:paraId="00000081">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contar con los antídotos necesarios ante cualquier eventualidad propia de la labor adelantada por los operarios.</w:t>
      </w:r>
    </w:p>
    <w:p w:rsidR="00000000" w:rsidDel="00000000" w:rsidP="00000000" w:rsidRDefault="00000000" w:rsidRPr="00000000" w14:paraId="00000082">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servicio deberá contar con la señalización necesaria que advierta de los peligros al momento de las fumigaciones. </w:t>
      </w:r>
    </w:p>
    <w:p w:rsidR="00000000" w:rsidDel="00000000" w:rsidP="00000000" w:rsidRDefault="00000000" w:rsidRPr="00000000" w14:paraId="00000083">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deberá reemplazar bajo su costo las plantas del jardín del SENA que por la actividad de fumigación realizada resulten dañadas. </w:t>
      </w:r>
    </w:p>
    <w:p w:rsidR="00000000" w:rsidDel="00000000" w:rsidP="00000000" w:rsidRDefault="00000000" w:rsidRPr="00000000" w14:paraId="00000084">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El contratista es responsable de cualquier daño que ocasione al SENA, a terceros con ocasión de la ejecución y desarrollo del objeto contractual. </w:t>
      </w:r>
    </w:p>
    <w:p w:rsidR="00000000" w:rsidDel="00000000" w:rsidP="00000000" w:rsidRDefault="00000000" w:rsidRPr="00000000" w14:paraId="00000085">
      <w:pPr>
        <w:numPr>
          <w:ilvl w:val="0"/>
          <w:numId w:val="3"/>
        </w:numPr>
        <w:spacing w:after="0" w:line="240" w:lineRule="auto"/>
        <w:ind w:left="720" w:hanging="360"/>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Ostentar el plano de distribución de cada una de las cajas de cebos que se instalen.</w:t>
      </w:r>
    </w:p>
    <w:p w:rsidR="00000000" w:rsidDel="00000000" w:rsidP="00000000" w:rsidRDefault="00000000" w:rsidRPr="00000000" w14:paraId="00000086">
      <w:pPr>
        <w:numPr>
          <w:ilvl w:val="0"/>
          <w:numId w:val="4"/>
        </w:numPr>
        <w:spacing w:after="0"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Garantizar visitas mensuales de seguimiento a las cajas de cebos instaladas.</w:t>
      </w:r>
      <w:r w:rsidDel="00000000" w:rsidR="00000000" w:rsidRPr="00000000">
        <w:rPr>
          <w:rtl w:val="0"/>
        </w:rPr>
      </w:r>
    </w:p>
    <w:p w:rsidR="00000000" w:rsidDel="00000000" w:rsidP="00000000" w:rsidRDefault="00000000" w:rsidRPr="00000000" w14:paraId="00000087">
      <w:pPr>
        <w:numPr>
          <w:ilvl w:val="0"/>
          <w:numId w:val="4"/>
        </w:numPr>
        <w:spacing w:after="0"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El Contratista, antes de iniciar labores deberá asistir a la inducción de seguridad y salud en el trabajo y ambiental que el centro de formación programe. </w:t>
      </w:r>
      <w:r w:rsidDel="00000000" w:rsidR="00000000" w:rsidRPr="00000000">
        <w:rPr>
          <w:rtl w:val="0"/>
        </w:rPr>
      </w:r>
    </w:p>
    <w:p w:rsidR="00000000" w:rsidDel="00000000" w:rsidP="00000000" w:rsidRDefault="00000000" w:rsidRPr="00000000" w14:paraId="00000088">
      <w:pPr>
        <w:numPr>
          <w:ilvl w:val="0"/>
          <w:numId w:val="4"/>
        </w:numPr>
        <w:spacing w:after="0" w:line="240" w:lineRule="auto"/>
        <w:ind w:left="720" w:hanging="360"/>
        <w:jc w:val="both"/>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Dar cumplimiento a las obligaciones del sistema de seguridad social (salud, pensión y riesgos laborales), así como al SG-SST y demás normas aplicables, y presentar los documentos respectivos que acrediten todos los anteriores.</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Obligaciones del Servicio Nacional de Aprendizaje – SENA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Exigir al contratista la ejecución idónea y oportuna de las obligaciones del presente </w:t>
      </w:r>
    </w:p>
    <w:p w:rsidR="00000000" w:rsidDel="00000000" w:rsidP="00000000" w:rsidRDefault="00000000" w:rsidRPr="00000000" w14:paraId="0000008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Rechazar los bienes y/o servicios cuando estos no cumplan con los requerimientos técnicos exigidos.</w:t>
      </w:r>
    </w:p>
    <w:p w:rsidR="00000000" w:rsidDel="00000000" w:rsidP="00000000" w:rsidRDefault="00000000" w:rsidRPr="00000000" w14:paraId="0000008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Pagar la contraprestación a la que tiene derecho el contratista, con ocasión de la correcta ejecución del negocio jurídico suscrito.</w:t>
      </w:r>
    </w:p>
    <w:p w:rsidR="00000000" w:rsidDel="00000000" w:rsidP="00000000" w:rsidRDefault="00000000" w:rsidRPr="00000000" w14:paraId="0000008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Suministrar la información que previamente requiera el contratista en relación con el objeto del presente contrato.</w:t>
      </w:r>
    </w:p>
    <w:p w:rsidR="00000000" w:rsidDel="00000000" w:rsidP="00000000" w:rsidRDefault="00000000" w:rsidRPr="00000000" w14:paraId="0000009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Suscribir con-juntamente con el contratista y/o la Interventoría las actas y los demás documentos necesarios para la ejecución y liquidación de este contrato.</w:t>
      </w:r>
    </w:p>
    <w:p w:rsidR="00000000" w:rsidDel="00000000" w:rsidP="00000000" w:rsidRDefault="00000000" w:rsidRPr="00000000" w14:paraId="0000009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Adelantar las gestiones necesarias para el reconocimiento y cobro de las sanciones pecuniarias y garantías a que hubiere lugar. Para tal efecto, el Supervisor dará aviso oportuno al ordenador del gasto o a su delegado, sobre la ocurrencia de hecho constitutivo incumplimiento o mora de las prestaciones contratadas.</w:t>
      </w:r>
    </w:p>
    <w:p w:rsidR="00000000" w:rsidDel="00000000" w:rsidP="00000000" w:rsidRDefault="00000000" w:rsidRPr="00000000" w14:paraId="0000009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Informar al proveedor la forma como se deben presentar las facturas o documentos equivalentes.</w:t>
      </w:r>
    </w:p>
    <w:p w:rsidR="00000000" w:rsidDel="00000000" w:rsidP="00000000" w:rsidRDefault="00000000" w:rsidRPr="00000000" w14:paraId="0000009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Las demás que se estimen de acuerdo con la naturaleza de la contratación.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CONCLUSIONES: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Es de vital importancia que el Centro Agropecuario “La Granja” SENA - Espinal Regional Tolima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ara garantizar el cumplimiento del Programa de Gestión Ambiental y Seguridad Higiene en el Centro de Formación, desarrollé actividades de prevención en el manejo de plagas y roedores con el servicio de Fumigación, desinfección y control integrado de plagas, insectos, microorganismos y roedores, atendiendo las diferentes necesidades que demandan cada una de las dependencias en cumplimiento de sus objetivos misionales con mantenimientos programados para evitar problemas ambientales y con la salubridad de  Aprendices, Funcionarios, Contratistas y Visitantes.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El artículo 27 del Decreto 249 de 2004, señala las funciones que deben desarrollarlas subdirecciones de centro para planear, programar y ejecutar todos los procesos mencionados anteriormente, entre ellas “Administrar y ejecutar todos los procesos de contratación del Centro”. Con estas justificaciones el Centro Agropecuario La Granja, desarrolló su plan de acción el cual refiere a “CONTRATAR LA FUMIGACIÓN, CONTROL DE ROEDORES PLAGAS Y VECTORES, DEL CENTRO AGROPECUARIO LA GRANJA 2025”.</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Respondiendo a la estrategia institucional anteriormente expuesta, el Centro Agropecuario La Granja SENA del El Espinal Tolima para garantizar los servicios de formación profesional integral a población rural y urbana de los diferentes municipios del departamento del Tolima y del país requiere asegurar las condiciones de funcionalidad y operatividad de los ambientes descritos anteriormente.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 consecuencia, es de vital importancia contratar la fumigación, control de roedores plagas y vectores, incluido los insumos para realizar las aplicaciones para el control estructural de plagas y la intervención de personal técnico, el cual incluye la ejecución de las actividades de acuerdo con las siguientes especificaciones: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8855.0" w:type="dxa"/>
        <w:jc w:val="left"/>
        <w:tblLayout w:type="fixed"/>
        <w:tblLook w:val="0400"/>
      </w:tblPr>
      <w:tblGrid>
        <w:gridCol w:w="714"/>
        <w:gridCol w:w="5660"/>
        <w:gridCol w:w="1394"/>
        <w:gridCol w:w="1087"/>
        <w:tblGridChange w:id="0">
          <w:tblGrid>
            <w:gridCol w:w="714"/>
            <w:gridCol w:w="5660"/>
            <w:gridCol w:w="1394"/>
            <w:gridCol w:w="1087"/>
          </w:tblGrid>
        </w:tblGridChange>
      </w:tblGrid>
      <w:tr>
        <w:trPr>
          <w:cantSplit w:val="0"/>
          <w:trHeight w:val="915" w:hRule="atLeast"/>
          <w:tblHeader w:val="0"/>
        </w:trPr>
        <w:tc>
          <w:tcPr>
            <w:tcBorders>
              <w:top w:color="000000" w:space="0" w:sz="4" w:val="single"/>
              <w:left w:color="000000" w:space="0" w:sz="4" w:val="single"/>
              <w:bottom w:color="000000" w:space="0" w:sz="0" w:val="nil"/>
              <w:right w:color="000000" w:space="0" w:sz="4" w:val="single"/>
            </w:tcBorders>
            <w:shd w:fill="83cceb" w:val="clear"/>
            <w:vAlign w:val="center"/>
          </w:tcPr>
          <w:p w:rsidR="00000000" w:rsidDel="00000000" w:rsidP="00000000" w:rsidRDefault="00000000" w:rsidRPr="00000000" w14:paraId="0000009F">
            <w:pPr>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ITEM</w:t>
            </w:r>
          </w:p>
        </w:tc>
        <w:tc>
          <w:tcPr>
            <w:tcBorders>
              <w:top w:color="000000" w:space="0" w:sz="4" w:val="single"/>
              <w:left w:color="000000" w:space="0" w:sz="0" w:val="nil"/>
              <w:bottom w:color="000000" w:space="0" w:sz="0" w:val="nil"/>
              <w:right w:color="000000" w:space="0" w:sz="4" w:val="single"/>
            </w:tcBorders>
            <w:shd w:fill="83cceb" w:val="clear"/>
            <w:vAlign w:val="center"/>
          </w:tcPr>
          <w:p w:rsidR="00000000" w:rsidDel="00000000" w:rsidP="00000000" w:rsidRDefault="00000000" w:rsidRPr="00000000" w14:paraId="000000A0">
            <w:pPr>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DESCRIPCIÓN DEL BIEN</w:t>
            </w:r>
          </w:p>
        </w:tc>
        <w:tc>
          <w:tcPr>
            <w:tcBorders>
              <w:top w:color="000000" w:space="0" w:sz="4" w:val="single"/>
              <w:left w:color="000000" w:space="0" w:sz="0" w:val="nil"/>
              <w:bottom w:color="000000" w:space="0" w:sz="0" w:val="nil"/>
              <w:right w:color="000000" w:space="0" w:sz="4" w:val="single"/>
            </w:tcBorders>
            <w:shd w:fill="83cceb" w:val="clear"/>
            <w:vAlign w:val="center"/>
          </w:tcPr>
          <w:p w:rsidR="00000000" w:rsidDel="00000000" w:rsidP="00000000" w:rsidRDefault="00000000" w:rsidRPr="00000000" w14:paraId="000000A1">
            <w:pPr>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 CANTIDAD</w:t>
            </w:r>
          </w:p>
        </w:tc>
        <w:tc>
          <w:tcPr>
            <w:tcBorders>
              <w:top w:color="000000" w:space="0" w:sz="4" w:val="single"/>
              <w:left w:color="000000" w:space="0" w:sz="0" w:val="nil"/>
              <w:bottom w:color="000000" w:space="0" w:sz="0" w:val="nil"/>
              <w:right w:color="000000" w:space="0" w:sz="4" w:val="single"/>
            </w:tcBorders>
            <w:shd w:fill="83cceb" w:val="clear"/>
            <w:vAlign w:val="center"/>
          </w:tcPr>
          <w:p w:rsidR="00000000" w:rsidDel="00000000" w:rsidP="00000000" w:rsidRDefault="00000000" w:rsidRPr="00000000" w14:paraId="000000A2">
            <w:pPr>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UNIDAD DE MEDIDA</w:t>
            </w:r>
          </w:p>
        </w:tc>
      </w:tr>
      <w:tr>
        <w:trPr>
          <w:cantSplit w:val="0"/>
          <w:trHeight w:val="2790" w:hRule="atLeast"/>
          <w:tblHeader w:val="0"/>
        </w:trPr>
        <w:tc>
          <w:tcPr>
            <w:tcBorders>
              <w:top w:color="000000" w:space="0" w:sz="8"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A3">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8"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4">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Fumigación con termonebulizadora y/o Nebulizadora de áreas cerradas y abiertas de acuerdo con las necesidades del control de plagas, requerido por parte Centro Agropecuario "La Granja". Se debe realizar con productos de salud pública con rotación de estos, debe tener la recomendación técnica firmada, POR PARTE DEL PERSONAL DE ACUERDO CON LA NORMATIVA VIGENTE - por cada una de las aplicaciones recomendadas con dosis, calibración de la fumigadora y firma del profesional técnico que realiza la recomendación técnica antes de cada aplicación.</w:t>
            </w:r>
          </w:p>
        </w:tc>
        <w:tc>
          <w:tcPr>
            <w:tcBorders>
              <w:top w:color="000000" w:space="0" w:sz="8"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5">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35.000</w:t>
            </w:r>
          </w:p>
        </w:tc>
        <w:tc>
          <w:tcPr>
            <w:tcBorders>
              <w:top w:color="000000" w:space="0" w:sz="8"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6">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M2</w:t>
            </w:r>
          </w:p>
        </w:tc>
      </w:tr>
      <w:tr>
        <w:trPr>
          <w:cantSplit w:val="0"/>
          <w:trHeight w:val="303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A7">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8">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Fumigación con termonebulizadora y/o Nebulizadora de áreas cerradas y abiertas de acuerdo con las necesidades del control de plagas, requerido por parte Centro Agropecuario "La Granja". Se debe realizar con productos de salud pública PRODUCTO ORGANICO, debe tener la recomendación técnica firmada, POR PARTE DEL PERSONAL DE ACUERDO CON LA NORMATIVA VIGENTE - por cada una de las aplicaciones recomendadas con dosis, calibración de la fumigadora y firma del profesional técnico que realiza la recomendación técnica antes de cada aplicación. Esta aplicación se deberá realizar después de las 4 de la tarde.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9">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5.000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A">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M2</w:t>
            </w:r>
          </w:p>
        </w:tc>
      </w:tr>
      <w:tr>
        <w:trPr>
          <w:cantSplit w:val="0"/>
          <w:trHeight w:val="118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AB">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C">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Suministro e instalación de Estación de cebado con anclaje y anclaje en el suelo para control de roedores Medidas: Alto 9,5 cm x Ancho 19 cm x Largo 23 cm – Diámetro de entrada: 5,5 cm. Tapa negra, con anclaje para poder moverlas.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D">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E">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85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AF">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B0">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Demarcación con pintura roja de aceite roja en el suelo, numeración de las estaciones de cebado con sticker según la norma y leyes vigentes para esto.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1">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2">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114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B3">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5</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B4">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Monitoreo:  mantenimiento de Estación de cebado de roedores con limpieza de estas y colocación de cebos que serán suministrados por la Entidad Servicio Nacional de Aprendizaje SENA Centro Agropecuario "La Granja" Regional Tolima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5">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6">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165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B7">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6</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B8">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Monitoreo y mantenimiento de Lámpara UV mata insectos decorativa, con limpieza y suministro repuestos necesarios para su normal funcionamiento. Cambio de láminas de pegante que serán suministrados por la Entidad Servicio Nacional de Aprendizaje SENA Centro Agropecuario "La Granja" Regional Tolima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9">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A">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114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BB">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7</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BC">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Mantenimiento, colocación de atrayente y lavado de Trampas para moscas. El atrayente será suministrado por la Entidad Servicio Nacional de Aprendizaje SENA Centro Agropecuario "La Granja" Regional Tolima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D">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E">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202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BF">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8</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0">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Control Estructural de Plagas: BCPC20D1 Inalámbrica Presión Max 350psi 20v incluye cargador y batería. Limpiador de potencia, 1Varita larga con boquilla ajustable integrada, 1 Manguera de succión y extracción, 1 Adaptador de manguera de conexión rápida, 2 Batería de 20v máx x 1,5Ah, 1 Cargador. Para lavado de Trampas de Roedores, Moscas y estructuras donde se alojan plagas.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1">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2">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r>
        <w:trPr>
          <w:cantSplit w:val="0"/>
          <w:trHeight w:val="111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C3">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9</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C4">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Control Termitas en Archivo inactivo producto que será suministrado y aplicado por la entidad contratada. En la cotización se debe suministrar que productos va utilizar con el nombre comercial e ingrediente activo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5">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72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6">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M2</w:t>
            </w:r>
          </w:p>
        </w:tc>
      </w:tr>
      <w:tr>
        <w:trPr>
          <w:cantSplit w:val="0"/>
          <w:trHeight w:val="990"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C7">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8">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Instalación de angeo galvanizado de 1 mm* 1 mm galvanizado en ventanas, cantidad 20 metros cuadrados según necesidades del centro en diferentes espacios. Con marco de aluminio.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9">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CA">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M2</w:t>
            </w:r>
          </w:p>
        </w:tc>
      </w:tr>
      <w:tr>
        <w:trPr>
          <w:cantSplit w:val="0"/>
          <w:trHeight w:val="1185" w:hRule="atLeast"/>
          <w:tblHeader w:val="0"/>
        </w:trPr>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0CB">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11</w:t>
            </w:r>
          </w:p>
        </w:tc>
        <w:tc>
          <w:tcPr>
            <w:tcBorders>
              <w:top w:color="000000" w:space="0" w:sz="0" w:val="nil"/>
              <w:left w:color="000000" w:space="0" w:sz="0" w:val="nil"/>
              <w:bottom w:color="000000" w:space="0" w:sz="8" w:val="single"/>
              <w:right w:color="000000" w:space="0" w:sz="4" w:val="single"/>
            </w:tcBorders>
            <w:shd w:fill="ffffff" w:val="clear"/>
            <w:vAlign w:val="center"/>
          </w:tcPr>
          <w:p w:rsidR="00000000" w:rsidDel="00000000" w:rsidP="00000000" w:rsidRDefault="00000000" w:rsidRPr="00000000" w14:paraId="000000CC">
            <w:pPr>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Publicidad en Vallas: Instalación de Mapa de Ubicación de las trampas de moscas, trampas UV, trampas de Roedores, trampas de termitas con su numeración. Valla de 2m x 2m Full color, con argollas para su instalación. Material en Lona.</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CD">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CE">
            <w:pP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UN</w:t>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Agradezco la atención y gestión de lo antes manifestado.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Atentamente,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MARCELA SÁNCHEZ SÁNCHEZ</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Profesional Grado 02</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Coordinadora Grupo de Apoyo Administrativo</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Centro Agropecuario La Granja</w:t>
      </w:r>
    </w:p>
    <w:p w:rsidR="00000000" w:rsidDel="00000000" w:rsidP="00000000" w:rsidRDefault="00000000" w:rsidRPr="00000000" w14:paraId="000000DB">
      <w:pPr>
        <w:tabs>
          <w:tab w:val="left" w:leader="none" w:pos="4253"/>
        </w:tabs>
        <w:spacing w:after="0" w:line="240" w:lineRule="auto"/>
        <w:ind w:right="851"/>
        <w:rPr>
          <w:sz w:val="18"/>
          <w:szCs w:val="18"/>
        </w:rPr>
      </w:pPr>
      <w:r w:rsidDel="00000000" w:rsidR="00000000" w:rsidRPr="00000000">
        <w:rPr>
          <w:rtl w:val="0"/>
        </w:rPr>
      </w:r>
    </w:p>
    <w:p w:rsidR="00000000" w:rsidDel="00000000" w:rsidP="00000000" w:rsidRDefault="00000000" w:rsidRPr="00000000" w14:paraId="000000DC">
      <w:pPr>
        <w:tabs>
          <w:tab w:val="left" w:leader="none" w:pos="4253"/>
        </w:tabs>
        <w:spacing w:after="0" w:line="240" w:lineRule="auto"/>
        <w:ind w:right="851"/>
        <w:rPr>
          <w:sz w:val="18"/>
          <w:szCs w:val="18"/>
        </w:rPr>
      </w:pPr>
      <w:r w:rsidDel="00000000" w:rsidR="00000000" w:rsidRPr="00000000">
        <w:rPr>
          <w:rtl w:val="0"/>
        </w:rPr>
      </w:r>
    </w:p>
    <w:p w:rsidR="00000000" w:rsidDel="00000000" w:rsidP="00000000" w:rsidRDefault="00000000" w:rsidRPr="00000000" w14:paraId="000000DD">
      <w:pPr>
        <w:spacing w:after="0" w:line="240" w:lineRule="auto"/>
        <w:ind w:right="851"/>
        <w:rPr>
          <w:sz w:val="18"/>
          <w:szCs w:val="18"/>
        </w:rPr>
      </w:pPr>
      <w:r w:rsidDel="00000000" w:rsidR="00000000" w:rsidRPr="00000000">
        <w:rPr>
          <w:sz w:val="18"/>
          <w:szCs w:val="18"/>
          <w:rtl w:val="0"/>
        </w:rPr>
        <w:t xml:space="preserve">Proyectó: Leonardo Bonilla Tello – Contratista Estructurador de Proyectos:  </w:t>
      </w:r>
      <w:r w:rsidDel="00000000" w:rsidR="00000000" w:rsidRPr="00000000">
        <w:drawing>
          <wp:anchor allowOverlap="1" behindDoc="0" distB="0" distT="0" distL="114300" distR="114300" hidden="0" layoutInCell="1" locked="0" relativeHeight="0" simplePos="0">
            <wp:simplePos x="0" y="0"/>
            <wp:positionH relativeFrom="column">
              <wp:posOffset>3575421</wp:posOffset>
            </wp:positionH>
            <wp:positionV relativeFrom="paragraph">
              <wp:posOffset>6350</wp:posOffset>
            </wp:positionV>
            <wp:extent cx="448310" cy="175260"/>
            <wp:effectExtent b="0" l="0" r="0" t="0"/>
            <wp:wrapSquare wrapText="bothSides" distB="0" distT="0" distL="114300" distR="11430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448310" cy="175260"/>
                    </a:xfrm>
                    <a:prstGeom prst="rect"/>
                    <a:ln/>
                  </pic:spPr>
                </pic:pic>
              </a:graphicData>
            </a:graphic>
          </wp:anchor>
        </w:drawing>
      </w:r>
    </w:p>
    <w:p w:rsidR="00000000" w:rsidDel="00000000" w:rsidP="00000000" w:rsidRDefault="00000000" w:rsidRPr="00000000" w14:paraId="000000DE">
      <w:pPr>
        <w:spacing w:after="0" w:line="240" w:lineRule="auto"/>
        <w:ind w:right="851"/>
        <w:rPr>
          <w:sz w:val="18"/>
          <w:szCs w:val="18"/>
        </w:rPr>
      </w:pPr>
      <w:r w:rsidDel="00000000" w:rsidR="00000000" w:rsidRPr="00000000">
        <w:rPr>
          <w:rtl w:val="0"/>
        </w:rPr>
      </w:r>
    </w:p>
    <w:sectPr>
      <w:headerReference r:id="rId7" w:type="default"/>
      <w:headerReference r:id="rId8" w:type="even"/>
      <w:footerReference r:id="rId9" w:type="default"/>
      <w:footerReference r:id="rId10" w:type="even"/>
      <w:pgSz w:h="15840" w:w="12240" w:orient="portrait"/>
      <w:pgMar w:bottom="1418" w:top="1701" w:left="1701" w:right="1701" w:header="709" w:footer="12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ork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[Escriba texto][Escriba texto][Escriba texto]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General/Regional Tolima/Centro Agropecuario La Granja</w:t>
    </w:r>
  </w:p>
  <w:p w:rsidR="00000000" w:rsidDel="00000000" w:rsidP="00000000" w:rsidRDefault="00000000" w:rsidRPr="00000000" w14:paraId="000000E4">
    <w:pPr>
      <w:tabs>
        <w:tab w:val="center" w:leader="none" w:pos="4252"/>
        <w:tab w:val="right" w:leader="none" w:pos="8504"/>
      </w:tabs>
      <w:spacing w:after="0" w:line="240" w:lineRule="auto"/>
      <w:jc w:val="center"/>
      <w:rPr>
        <w:rFonts w:ascii="Work Sans Medium" w:cs="Work Sans Medium" w:eastAsia="Work Sans Medium" w:hAnsi="Work Sans Medium"/>
        <w:color w:val="ff6c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km 5 vía Espinal - Ibagué - PBX 57 601 5461500</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6184900</wp:posOffset>
              </wp:positionH>
              <wp:positionV relativeFrom="paragraph">
                <wp:posOffset>-165099</wp:posOffset>
              </wp:positionV>
              <wp:extent cx="298574" cy="933450"/>
              <wp:effectExtent b="0" l="0" r="0" t="0"/>
              <wp:wrapNone/>
              <wp:docPr id="1" name=""/>
              <a:graphic>
                <a:graphicData uri="http://schemas.microsoft.com/office/word/2010/wordprocessingShape">
                  <wps:wsp>
                    <wps:cNvSpPr/>
                    <wps:cNvPr id="2" name="Shape 2"/>
                    <wps:spPr>
                      <a:xfrm rot="-5400000">
                        <a:off x="4884038" y="3635476"/>
                        <a:ext cx="923925" cy="289049"/>
                      </a:xfrm>
                      <a:prstGeom prst="rect">
                        <a:avLst/>
                      </a:prstGeom>
                      <a:solidFill>
                        <a:schemeClr val="lt1"/>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GD-F-011 V.010</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6184900</wp:posOffset>
              </wp:positionH>
              <wp:positionV relativeFrom="paragraph">
                <wp:posOffset>-165099</wp:posOffset>
              </wp:positionV>
              <wp:extent cx="298574" cy="93345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98574" cy="933450"/>
                      </a:xfrm>
                      <a:prstGeom prst="rect"/>
                      <a:ln/>
                    </pic:spPr>
                  </pic:pic>
                </a:graphicData>
              </a:graphic>
            </wp:anchor>
          </w:drawing>
        </mc:Fallback>
      </mc:AlternateContent>
    </w:r>
  </w:p>
  <w:p w:rsidR="00000000" w:rsidDel="00000000" w:rsidP="00000000" w:rsidRDefault="00000000" w:rsidRPr="00000000" w14:paraId="000000E5">
    <w:pPr>
      <w:tabs>
        <w:tab w:val="center" w:leader="none" w:pos="4252"/>
        <w:tab w:val="right" w:leader="none" w:pos="8504"/>
      </w:tabs>
      <w:spacing w:after="0" w:line="240" w:lineRule="auto"/>
      <w:jc w:val="center"/>
      <w:rPr>
        <w:rFonts w:ascii="Raleway" w:cs="Raleway" w:eastAsia="Raleway" w:hAnsi="Raleway"/>
        <w:b w:val="1"/>
        <w:color w:val="ff6c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2317991</wp:posOffset>
          </wp:positionH>
          <wp:positionV relativeFrom="paragraph">
            <wp:posOffset>173990</wp:posOffset>
          </wp:positionV>
          <wp:extent cx="1015437" cy="393397"/>
          <wp:effectExtent b="0" l="0" r="0" t="0"/>
          <wp:wrapNone/>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15437" cy="39339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[Escriba texto][Escriba texto][Escriba texto]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715010" cy="699135"/>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15010" cy="6991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440" w:hanging="108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8"/>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240" w:lineRule="auto"/>
    </w:pPr>
    <w:rPr>
      <w:rFonts w:ascii="Cambria" w:cs="Cambria" w:eastAsia="Cambria" w:hAnsi="Cambria"/>
      <w:b w:val="1"/>
      <w:i w:val="1"/>
      <w:sz w:val="28"/>
      <w:szCs w:val="28"/>
    </w:rPr>
  </w:style>
  <w:style w:type="paragraph" w:styleId="Heading3">
    <w:name w:val="heading 3"/>
    <w:basedOn w:val="Normal"/>
    <w:next w:val="Normal"/>
    <w:pPr>
      <w:keepNext w:val="1"/>
      <w:spacing w:after="0" w:before="240" w:line="360" w:lineRule="auto"/>
      <w:ind w:left="720" w:hanging="720"/>
      <w:jc w:val="center"/>
    </w:pPr>
    <w:rPr>
      <w:rFonts w:ascii="Arial" w:cs="Arial" w:eastAsia="Arial" w:hAnsi="Arial"/>
      <w:b w:val="1"/>
      <w:color w:val="000000"/>
    </w:rPr>
  </w:style>
  <w:style w:type="paragraph" w:styleId="Heading4">
    <w:name w:val="heading 4"/>
    <w:basedOn w:val="Normal"/>
    <w:next w:val="Normal"/>
    <w:pPr>
      <w:keepNext w:val="1"/>
      <w:keepLines w:val="1"/>
      <w:spacing w:after="0" w:before="200" w:line="240" w:lineRule="auto"/>
      <w:ind w:left="864" w:hanging="864"/>
    </w:pPr>
    <w:rPr>
      <w:rFonts w:ascii="Cambria" w:cs="Cambria" w:eastAsia="Cambria" w:hAnsi="Cambria"/>
      <w:b w:val="1"/>
      <w:i w:val="1"/>
      <w:color w:val="4f81bd"/>
      <w:sz w:val="24"/>
      <w:szCs w:val="24"/>
    </w:rPr>
  </w:style>
  <w:style w:type="paragraph" w:styleId="Heading5">
    <w:name w:val="heading 5"/>
    <w:basedOn w:val="Normal"/>
    <w:next w:val="Normal"/>
    <w:pPr>
      <w:keepNext w:val="1"/>
      <w:keepLines w:val="1"/>
      <w:spacing w:after="0" w:before="200" w:line="240" w:lineRule="auto"/>
      <w:ind w:left="1008" w:hanging="1008"/>
    </w:pPr>
    <w:rPr>
      <w:rFonts w:ascii="Cambria" w:cs="Cambria" w:eastAsia="Cambria" w:hAnsi="Cambria"/>
      <w:color w:val="243f60"/>
      <w:sz w:val="24"/>
      <w:szCs w:val="24"/>
    </w:rPr>
  </w:style>
  <w:style w:type="paragraph" w:styleId="Heading6">
    <w:name w:val="heading 6"/>
    <w:basedOn w:val="Normal"/>
    <w:next w:val="Normal"/>
    <w:pPr>
      <w:keepNext w:val="1"/>
      <w:keepLines w:val="1"/>
      <w:spacing w:after="0" w:before="200" w:line="240" w:lineRule="auto"/>
      <w:ind w:left="1152" w:hanging="1152"/>
    </w:pPr>
    <w:rPr>
      <w:rFonts w:ascii="Cambria" w:cs="Cambria" w:eastAsia="Cambria" w:hAnsi="Cambria"/>
      <w:i w:val="1"/>
      <w:color w:val="243f60"/>
      <w:sz w:val="24"/>
      <w:szCs w:val="24"/>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WorkSansMedium-regular.ttf"/><Relationship Id="rId6" Type="http://schemas.openxmlformats.org/officeDocument/2006/relationships/font" Target="fonts/WorkSansMedium-bold.ttf"/><Relationship Id="rId7" Type="http://schemas.openxmlformats.org/officeDocument/2006/relationships/font" Target="fonts/WorkSansMedium-italic.ttf"/><Relationship Id="rId8" Type="http://schemas.openxmlformats.org/officeDocument/2006/relationships/font" Target="fonts/WorkSansMedium-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2025-07-07T16:27:15Z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8a97f861-66d9-4baa-8d30-4922788d5566</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